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pos="1985"/>
        </w:tabs>
        <w:spacing w:after="120" w:before="120" w:lineRule="auto"/>
        <w:ind w:left="165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pPr>
      <w:r w:rsidDel="00000000" w:rsidR="00000000" w:rsidRPr="00000000">
        <w:rPr>
          <w:rFonts w:ascii="Arial" w:cs="Arial" w:eastAsia="Arial" w:hAnsi="Arial"/>
          <w:b w:val="1"/>
          <w:smallCaps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r w:rsidDel="00000000" w:rsidR="00000000" w:rsidRPr="00000000">
        <w:rPr>
          <w:rtl w:val="0"/>
        </w:rPr>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 Review"</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75"/>
              </w:tabs>
              <w:spacing w:after="120" w:lineRule="auto"/>
              <w:jc w:val="left"/>
              <w:rPr>
                <w:color w:val="000000"/>
              </w:rPr>
            </w:pPr>
            <w:r w:rsidDel="00000000" w:rsidR="00000000" w:rsidRPr="00000000">
              <w:rPr>
                <w:rFonts w:ascii="Arial" w:cs="Arial" w:eastAsia="Arial" w:hAnsi="Arial"/>
                <w:color w:val="000000"/>
                <w:sz w:val="24"/>
                <w:szCs w:val="24"/>
                <w:rtl w:val="0"/>
              </w:rPr>
              <w:t xml:space="preserve">a review of the Deliverables carried out in accordance with this Schedule to determine whether those Deliverables represent Good Value;</w:t>
            </w:r>
            <w:r w:rsidDel="00000000" w:rsidR="00000000" w:rsidRPr="00000000">
              <w:rPr>
                <w:rtl w:val="0"/>
              </w:rPr>
            </w:r>
          </w:p>
        </w:tc>
      </w:tr>
      <w:t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"Benchmarked Deliverables"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75"/>
              </w:tabs>
              <w:spacing w:after="120" w:lineRule="auto"/>
              <w:jc w:val="left"/>
              <w:rPr>
                <w:color w:val="000000"/>
              </w:rPr>
            </w:pPr>
            <w:r w:rsidDel="00000000" w:rsidR="00000000" w:rsidRPr="00000000">
              <w:rPr>
                <w:rFonts w:ascii="Arial" w:cs="Arial" w:eastAsia="Arial" w:hAnsi="Arial"/>
                <w:color w:val="000000"/>
                <w:sz w:val="24"/>
                <w:szCs w:val="24"/>
                <w:rtl w:val="0"/>
              </w:rPr>
              <w:t xml:space="preserve">any Deliverables included within the scope of a Benchmark Review pursuant to this Schedule;</w:t>
            </w:r>
            <w:r w:rsidDel="00000000" w:rsidR="00000000" w:rsidRPr="00000000">
              <w:rPr>
                <w:rtl w:val="0"/>
              </w:rPr>
            </w:r>
          </w:p>
        </w:tc>
      </w:tr>
      <w:t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Rates"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75"/>
              </w:tabs>
              <w:spacing w:after="120" w:lineRule="auto"/>
              <w:jc w:val="left"/>
              <w:rPr>
                <w:color w:val="000000"/>
              </w:rPr>
            </w:pPr>
            <w:r w:rsidDel="00000000" w:rsidR="00000000" w:rsidRPr="00000000">
              <w:rPr>
                <w:rFonts w:ascii="Arial" w:cs="Arial" w:eastAsia="Arial" w:hAnsi="Arial"/>
                <w:color w:val="000000"/>
                <w:sz w:val="24"/>
                <w:szCs w:val="24"/>
                <w:rtl w:val="0"/>
              </w:rPr>
              <w:t xml:space="preserve">the Charges for Comparable Deliverables;</w:t>
            </w:r>
            <w:r w:rsidDel="00000000" w:rsidR="00000000" w:rsidRPr="00000000">
              <w:rPr>
                <w:rtl w:val="0"/>
              </w:rPr>
            </w:r>
          </w:p>
        </w:tc>
      </w:tr>
      <w:t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5"/>
              </w:tabs>
              <w:spacing w:after="120" w:lineRule="auto"/>
              <w:jc w:val="left"/>
              <w:rPr>
                <w:color w:val="000000"/>
              </w:rPr>
            </w:pPr>
            <w:r w:rsidDel="00000000" w:rsidR="00000000" w:rsidRPr="00000000">
              <w:rPr>
                <w:rFonts w:ascii="Arial" w:cs="Arial" w:eastAsia="Arial" w:hAnsi="Arial"/>
                <w:color w:val="000000"/>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r w:rsidDel="00000000" w:rsidR="00000000" w:rsidRPr="00000000">
              <w:rPr>
                <w:rtl w:val="0"/>
              </w:rPr>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"Comparison Group"</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5"/>
              </w:tabs>
              <w:spacing w:after="120" w:lineRule="auto"/>
              <w:jc w:val="left"/>
              <w:rPr>
                <w:color w:val="000000"/>
              </w:rPr>
            </w:pPr>
            <w:r w:rsidDel="00000000" w:rsidR="00000000" w:rsidRPr="00000000">
              <w:rPr>
                <w:rFonts w:ascii="Arial" w:cs="Arial" w:eastAsia="Arial" w:hAnsi="Arial"/>
                <w:color w:val="000000"/>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r w:rsidDel="00000000" w:rsidR="00000000" w:rsidRPr="00000000">
              <w:rPr>
                <w:rtl w:val="0"/>
              </w:rPr>
            </w:r>
          </w:p>
        </w:tc>
      </w:tr>
      <w:t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"Equivalent Data"</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75"/>
              </w:tabs>
              <w:spacing w:after="120" w:lineRule="auto"/>
              <w:jc w:val="left"/>
              <w:rPr>
                <w:color w:val="000000"/>
              </w:rPr>
            </w:pPr>
            <w:r w:rsidDel="00000000" w:rsidR="00000000" w:rsidRPr="00000000">
              <w:rPr>
                <w:rFonts w:ascii="Arial" w:cs="Arial" w:eastAsia="Arial" w:hAnsi="Arial"/>
                <w:color w:val="000000"/>
                <w:sz w:val="24"/>
                <w:szCs w:val="24"/>
                <w:rtl w:val="0"/>
              </w:rPr>
              <w:t xml:space="preserve">data derived from an analysis of the Comparable Rates and/or the Comparable Deliverables (as applicable) provided by the Comparison Group;</w:t>
            </w:r>
            <w:r w:rsidDel="00000000" w:rsidR="00000000" w:rsidRPr="00000000">
              <w:rPr>
                <w:rtl w:val="0"/>
              </w:rPr>
            </w:r>
          </w:p>
        </w:tc>
      </w:tr>
      <w:t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Value"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75"/>
              </w:tabs>
              <w:spacing w:after="120" w:lineRule="auto"/>
              <w:jc w:val="left"/>
              <w:rPr>
                <w:color w:val="000000"/>
              </w:rPr>
            </w:pPr>
            <w:r w:rsidDel="00000000" w:rsidR="00000000" w:rsidRPr="00000000">
              <w:rPr>
                <w:rFonts w:ascii="Arial" w:cs="Arial" w:eastAsia="Arial" w:hAnsi="Arial"/>
                <w:color w:val="000000"/>
                <w:sz w:val="24"/>
                <w:szCs w:val="24"/>
                <w:rtl w:val="0"/>
              </w:rPr>
              <w:t xml:space="preserve">that the Benchmarked Rates are within the Upper Quartile; and</w:t>
            </w:r>
            <w:r w:rsidDel="00000000" w:rsidR="00000000" w:rsidRPr="00000000">
              <w:rPr>
                <w:rtl w:val="0"/>
              </w:rPr>
            </w:r>
          </w:p>
        </w:tc>
      </w:tr>
      <w:t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1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"Upper Quartile"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75"/>
              </w:tabs>
              <w:spacing w:after="120" w:lineRule="auto"/>
              <w:jc w:val="left"/>
              <w:rPr>
                <w:color w:val="000000"/>
              </w:rPr>
            </w:pPr>
            <w:r w:rsidDel="00000000" w:rsidR="00000000" w:rsidRPr="00000000">
              <w:rPr>
                <w:rFonts w:ascii="Arial" w:cs="Arial" w:eastAsia="Arial" w:hAnsi="Arial"/>
                <w:color w:val="000000"/>
                <w:sz w:val="24"/>
                <w:szCs w:val="24"/>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r w:rsidDel="00000000" w:rsidR="00000000" w:rsidRPr="00000000">
              <w:rPr>
                <w:rtl w:val="0"/>
              </w:rPr>
            </w:r>
          </w:p>
        </w:tc>
      </w:tr>
    </w:tbl>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Relevant Authority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Relevant Authority may terminate the Contract by issuing a Termination Notice to the Supplier if the Supplier refuses or fails to comply with its obligations as set out in Paragraphs 3 of this Schedule. </w:t>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recognise that, where specified in Framework Schedule 4 (Framework Management), the Buyer may give CCS the right to enforce the Buyer's rights under this Schedule.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5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Benchmarking</w:t>
      </w:r>
      <w:r w:rsidDel="00000000" w:rsidR="00000000" w:rsidRPr="00000000">
        <w:rPr>
          <w:rtl w:val="0"/>
        </w:rPr>
      </w:r>
    </w:p>
    <w:p w:rsidR="00000000" w:rsidDel="00000000" w:rsidP="00000000" w:rsidRDefault="00000000" w:rsidRPr="00000000" w14:paraId="0000001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How benchmarking works</w:t>
      </w:r>
      <w:r w:rsidDel="00000000" w:rsidR="00000000" w:rsidRPr="00000000">
        <w:rPr>
          <w:rtl w:val="0"/>
        </w:rPr>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by written notice to the Supplier, require a Benchmark Review of any or all of the Deliverables.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Relevant Authority in writing.</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Relevant Authority shall nominate a benchmarker.  The Supplier must approve the nomination within ten (10) Working Days unless the Supplier provides a reasonable explanation for rejecting the appointment.   If the appointment is rejected then the Relevant Authority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Relevant Authority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Relevant Authority.</w:t>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Benchmarking Process</w:t>
      </w:r>
      <w:r w:rsidDel="00000000" w:rsidR="00000000" w:rsidRPr="00000000">
        <w:rPr>
          <w:rtl w:val="0"/>
        </w:rPr>
      </w:r>
    </w:p>
    <w:p w:rsidR="00000000" w:rsidDel="00000000" w:rsidP="00000000" w:rsidRDefault="00000000" w:rsidRPr="00000000" w14:paraId="0000002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Relevant Authority, for Approval, a draft plan for the Benchmark Review which must include:</w:t>
      </w:r>
    </w:p>
    <w:p w:rsidR="00000000" w:rsidDel="00000000" w:rsidP="00000000" w:rsidRDefault="00000000" w:rsidRPr="00000000" w14:paraId="0000002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8" w:hanging="216"/>
        <w:jc w:val="left"/>
        <w:rPr/>
      </w:pP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tl w:val="0"/>
        </w:rPr>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Relevant Authority,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Relevant Authority in accordance with Clause 24 of the Core Terms (Changing the contract)</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1985"/>
        </w:tabs>
        <w:spacing w:after="120" w:before="120" w:lineRule="auto"/>
        <w:ind w:left="2422" w:hanging="720"/>
        <w:jc w:val="left"/>
        <w:rPr/>
        <w:sectPr>
          <w:headerReference r:id="rId6" w:type="default"/>
          <w:headerReference r:id="rId7" w:type="first"/>
          <w:footerReference r:id="rId8" w:type="default"/>
          <w:footerReference r:id="rId9" w:type="first"/>
          <w:pgSz w:h="16838" w:w="11906"/>
          <w:pgMar w:bottom="1440" w:top="1440" w:left="1440" w:right="1440" w:header="709" w:footer="709"/>
          <w:pgNumType w:start="1"/>
          <w:cols w:equalWidth="0"/>
        </w:sectPr>
      </w:pPr>
      <w:bookmarkStart w:colFirst="0" w:colLast="0" w:name="_tyjcwt" w:id="5"/>
      <w:bookmarkEnd w:id="5"/>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RM6170 Print Management Services</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14 (Benchmarking)</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